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4E3D" w14:textId="2FA8590D" w:rsidR="001D20C1" w:rsidRDefault="00811316">
      <w:pPr>
        <w:spacing w:before="33"/>
        <w:ind w:right="214"/>
        <w:jc w:val="right"/>
        <w:rPr>
          <w:b/>
          <w:i/>
          <w:sz w:val="20"/>
        </w:rPr>
      </w:pPr>
      <w:r>
        <w:rPr>
          <w:b/>
          <w:i/>
          <w:sz w:val="20"/>
        </w:rPr>
        <w:t>Allegato</w:t>
      </w:r>
      <w:r>
        <w:rPr>
          <w:b/>
          <w:i/>
          <w:spacing w:val="-2"/>
          <w:sz w:val="20"/>
        </w:rPr>
        <w:t xml:space="preserve"> </w:t>
      </w:r>
      <w:r w:rsidR="004C56B5">
        <w:rPr>
          <w:b/>
          <w:i/>
          <w:sz w:val="20"/>
        </w:rPr>
        <w:t>5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PTPCT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Ordine</w:t>
      </w:r>
      <w:r>
        <w:rPr>
          <w:b/>
          <w:i/>
          <w:spacing w:val="-1"/>
          <w:sz w:val="20"/>
        </w:rPr>
        <w:t xml:space="preserve"> </w:t>
      </w:r>
      <w:r w:rsidR="006E6C43">
        <w:rPr>
          <w:b/>
          <w:i/>
          <w:sz w:val="20"/>
        </w:rPr>
        <w:t>Avvocat</w:t>
      </w:r>
      <w:r>
        <w:rPr>
          <w:b/>
          <w:i/>
          <w:sz w:val="20"/>
        </w:rPr>
        <w:t>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 w:rsidR="00233BB7">
        <w:rPr>
          <w:b/>
          <w:i/>
          <w:spacing w:val="-3"/>
          <w:sz w:val="20"/>
        </w:rPr>
        <w:t>Pavia</w:t>
      </w:r>
      <w:bookmarkStart w:id="0" w:name="_GoBack"/>
      <w:bookmarkEnd w:id="0"/>
    </w:p>
    <w:p w14:paraId="7EE0C9A4" w14:textId="2C4F6502" w:rsidR="001D20C1" w:rsidRDefault="00811316">
      <w:pPr>
        <w:pStyle w:val="Corpotesto"/>
        <w:spacing w:before="160"/>
        <w:ind w:left="1599" w:right="1822"/>
        <w:jc w:val="center"/>
        <w:rPr>
          <w:sz w:val="40"/>
        </w:rPr>
      </w:pPr>
      <w:r>
        <w:rPr>
          <w:color w:val="001F5F"/>
          <w:sz w:val="40"/>
        </w:rPr>
        <w:t>P</w:t>
      </w:r>
      <w:r>
        <w:rPr>
          <w:color w:val="001F5F"/>
        </w:rPr>
        <w:t>IANO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ANNUALE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</w:t>
      </w:r>
      <w:r w:rsidR="00656472">
        <w:rPr>
          <w:color w:val="001F5F"/>
        </w:rPr>
        <w:t>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FORMAZIONE</w:t>
      </w:r>
      <w:r>
        <w:rPr>
          <w:color w:val="001F5F"/>
          <w:spacing w:val="-21"/>
          <w:sz w:val="40"/>
        </w:rPr>
        <w:t xml:space="preserve"> </w:t>
      </w:r>
      <w:r>
        <w:rPr>
          <w:color w:val="001F5F"/>
          <w:sz w:val="40"/>
        </w:rPr>
        <w:t>202</w:t>
      </w:r>
      <w:r w:rsidR="00176392">
        <w:rPr>
          <w:color w:val="001F5F"/>
          <w:sz w:val="40"/>
        </w:rPr>
        <w:t>4</w:t>
      </w:r>
    </w:p>
    <w:p w14:paraId="5906CE81" w14:textId="77777777" w:rsidR="008E3CC0" w:rsidRDefault="008E3CC0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</w:p>
    <w:p w14:paraId="7FA1FAAB" w14:textId="03010418" w:rsidR="00FD5D6A" w:rsidRPr="008E3CC0" w:rsidRDefault="00FD5D6A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 xml:space="preserve">L’elaborazione di un Piano annuale di formazione rientra a pieno titolo fra le misure di prevenzione generale previste nel PTPCT in armonia a quanto da sempre indicato e consigliato dall’ANAC (e confermato anche nel PNA 2022 – cfr., a titolo di esempio, le </w:t>
      </w:r>
      <w:proofErr w:type="spellStart"/>
      <w:r w:rsidRPr="008E3CC0">
        <w:rPr>
          <w:rFonts w:ascii="Arial Nova" w:hAnsi="Arial Nova" w:cs="Arial"/>
          <w:bCs/>
        </w:rPr>
        <w:t>pagg</w:t>
      </w:r>
      <w:proofErr w:type="spellEnd"/>
      <w:r w:rsidRPr="008E3CC0">
        <w:rPr>
          <w:rFonts w:ascii="Arial Nova" w:hAnsi="Arial Nova" w:cs="Arial"/>
          <w:bCs/>
        </w:rPr>
        <w:t>. 29, 34, 35 e 61).</w:t>
      </w:r>
    </w:p>
    <w:p w14:paraId="7CA55A99" w14:textId="2D94CB6F" w:rsidR="00A04D51" w:rsidRPr="008E3CC0" w:rsidRDefault="00FD5D6A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 xml:space="preserve">Il Piano qui di seguito declinato rappresenta una indicazione “de </w:t>
      </w:r>
      <w:proofErr w:type="spellStart"/>
      <w:r w:rsidRPr="008E3CC0">
        <w:rPr>
          <w:rFonts w:ascii="Arial Nova" w:hAnsi="Arial Nova" w:cs="Arial"/>
          <w:bCs/>
        </w:rPr>
        <w:t>minimis</w:t>
      </w:r>
      <w:proofErr w:type="spellEnd"/>
      <w:r w:rsidRPr="008E3CC0">
        <w:rPr>
          <w:rFonts w:ascii="Arial Nova" w:hAnsi="Arial Nova" w:cs="Arial"/>
          <w:bCs/>
        </w:rPr>
        <w:t>” e ci si riserva di implementare tale misura qualora insorgessero novità legate al contesto interno dell’Ente, ad eventuali modifiche normative e regolamentari tali da necessitare di un</w:t>
      </w:r>
      <w:r w:rsidR="008E3CC0" w:rsidRPr="008E3CC0">
        <w:rPr>
          <w:rFonts w:ascii="Arial Nova" w:hAnsi="Arial Nova" w:cs="Arial"/>
          <w:bCs/>
        </w:rPr>
        <w:t>’</w:t>
      </w:r>
      <w:r w:rsidRPr="008E3CC0">
        <w:rPr>
          <w:rFonts w:ascii="Arial Nova" w:hAnsi="Arial Nova" w:cs="Arial"/>
          <w:bCs/>
        </w:rPr>
        <w:t>apposita sessione di approfondimento a beneficio sia dei dipendenti sia del Consiglieri (e ciò stanti le peculiarità dell’Ordine, per come descritte nel PTPCT).</w:t>
      </w:r>
    </w:p>
    <w:p w14:paraId="37903998" w14:textId="453960A6" w:rsidR="008E3CC0" w:rsidRPr="008E3CC0" w:rsidRDefault="008E3CC0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 xml:space="preserve">Il </w:t>
      </w:r>
      <w:r>
        <w:rPr>
          <w:rFonts w:ascii="Arial Nova" w:hAnsi="Arial Nova" w:cs="Arial"/>
          <w:bCs/>
        </w:rPr>
        <w:t xml:space="preserve">presente </w:t>
      </w:r>
      <w:r w:rsidRPr="008E3CC0">
        <w:rPr>
          <w:rFonts w:ascii="Arial Nova" w:hAnsi="Arial Nova" w:cs="Arial"/>
          <w:bCs/>
        </w:rPr>
        <w:t>Piano definisce gli aspetti salienti</w:t>
      </w:r>
      <w:r>
        <w:rPr>
          <w:rFonts w:ascii="Arial Nova" w:hAnsi="Arial Nova" w:cs="Arial"/>
          <w:bCs/>
        </w:rPr>
        <w:t xml:space="preserve"> </w:t>
      </w:r>
      <w:r w:rsidRPr="008E3CC0">
        <w:rPr>
          <w:rFonts w:ascii="Arial Nova" w:hAnsi="Arial Nova" w:cs="Arial"/>
          <w:bCs/>
        </w:rPr>
        <w:t>della formazione, provvedendo, in particolare, alla:</w:t>
      </w:r>
    </w:p>
    <w:p w14:paraId="6174D7EA" w14:textId="73E80DA6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indicazione del collegamento tra formazione in tema di anticorruzione e programma annuale della formazione</w:t>
      </w:r>
      <w:r w:rsidR="00656472">
        <w:rPr>
          <w:rFonts w:ascii="Arial Nova" w:hAnsi="Arial Nova" w:cs="Arial"/>
          <w:bCs/>
        </w:rPr>
        <w:t>;</w:t>
      </w:r>
    </w:p>
    <w:p w14:paraId="4A78541B" w14:textId="19C06680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individuazione e pubblicizzazione delle procedure di selezione dei soggetti da formare in tema di anticorruzione</w:t>
      </w:r>
      <w:r w:rsidR="00656472">
        <w:rPr>
          <w:rFonts w:ascii="Arial Nova" w:hAnsi="Arial Nova" w:cs="Arial"/>
          <w:bCs/>
        </w:rPr>
        <w:t>;</w:t>
      </w:r>
    </w:p>
    <w:p w14:paraId="6C0CDF40" w14:textId="10C721C2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individuazione dei soggetti che erogano la formazione in tema di anticorruzione, in relazione alle esigenze e alle disponibilità</w:t>
      </w:r>
      <w:r w:rsidR="00656472">
        <w:rPr>
          <w:rFonts w:ascii="Arial Nova" w:hAnsi="Arial Nova" w:cs="Arial"/>
          <w:bCs/>
        </w:rPr>
        <w:t>;</w:t>
      </w:r>
    </w:p>
    <w:p w14:paraId="14305B91" w14:textId="7ED593D4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indicazione dei contenuti della formazione in tema di anticorruzione, trasparenza, etica della legalità, materie tecniche necessarie alla rotazione dei dipendenti nelle aree a rischio, compresi conflitti di interesse, incompatibilità, codice di comportamento e disciplinare, segnalazione degli illeciti</w:t>
      </w:r>
      <w:r w:rsidR="00656472">
        <w:rPr>
          <w:rFonts w:ascii="Arial Nova" w:hAnsi="Arial Nova" w:cs="Arial"/>
          <w:bCs/>
        </w:rPr>
        <w:t>;</w:t>
      </w:r>
    </w:p>
    <w:p w14:paraId="41F315AB" w14:textId="6C2B9622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 xml:space="preserve">indicazione di canali e strumenti di erogazione della formazione in tema di anticorruzione, </w:t>
      </w:r>
      <w:r w:rsidR="00CC7E83">
        <w:rPr>
          <w:rFonts w:ascii="Arial Nova" w:hAnsi="Arial Nova" w:cs="Arial"/>
          <w:bCs/>
        </w:rPr>
        <w:t xml:space="preserve">con </w:t>
      </w:r>
      <w:r w:rsidRPr="008E3CC0">
        <w:rPr>
          <w:rFonts w:ascii="Arial Nova" w:hAnsi="Arial Nova" w:cs="Arial"/>
          <w:bCs/>
        </w:rPr>
        <w:t>percorsi formativi differenziati secondo le esigenze e con forme di affiancamento e tutoraggio per l’avvio a nuovi settori lavorativi</w:t>
      </w:r>
      <w:r w:rsidR="00656472">
        <w:rPr>
          <w:rFonts w:ascii="Arial Nova" w:hAnsi="Arial Nova" w:cs="Arial"/>
          <w:bCs/>
        </w:rPr>
        <w:t>;</w:t>
      </w:r>
    </w:p>
    <w:p w14:paraId="25931C76" w14:textId="25164265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quantificazione di ore/giornate dedicate alla formazione in tema di anticorruzione</w:t>
      </w:r>
      <w:r w:rsidR="00656472">
        <w:rPr>
          <w:rFonts w:ascii="Arial Nova" w:hAnsi="Arial Nova" w:cs="Arial"/>
          <w:bCs/>
        </w:rPr>
        <w:t>;</w:t>
      </w:r>
    </w:p>
    <w:p w14:paraId="17B79E75" w14:textId="7545AD24" w:rsidR="008E3CC0" w:rsidRPr="008E3CC0" w:rsidRDefault="008E3CC0" w:rsidP="008E3CC0">
      <w:pPr>
        <w:pStyle w:val="Paragrafoelenco"/>
        <w:numPr>
          <w:ilvl w:val="0"/>
          <w:numId w:val="1"/>
        </w:numPr>
        <w:spacing w:after="120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monitoraggio dei processi di formazione e della loro efficacia.</w:t>
      </w:r>
    </w:p>
    <w:p w14:paraId="011F3870" w14:textId="0310E20C" w:rsidR="008E3CC0" w:rsidRDefault="008E3CC0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Il presente documento, dunque, ai sensi dell’art. 1, comma 8, L. 190/2012, sulla base delle</w:t>
      </w:r>
      <w:r>
        <w:rPr>
          <w:rFonts w:ascii="Arial Nova" w:hAnsi="Arial Nova" w:cs="Arial"/>
          <w:bCs/>
        </w:rPr>
        <w:t xml:space="preserve"> </w:t>
      </w:r>
      <w:r w:rsidRPr="008E3CC0">
        <w:rPr>
          <w:rFonts w:ascii="Arial Nova" w:hAnsi="Arial Nova" w:cs="Arial"/>
          <w:bCs/>
        </w:rPr>
        <w:t>prescrizioni del P</w:t>
      </w:r>
      <w:r>
        <w:rPr>
          <w:rFonts w:ascii="Arial Nova" w:hAnsi="Arial Nova" w:cs="Arial"/>
          <w:bCs/>
        </w:rPr>
        <w:t>NA</w:t>
      </w:r>
      <w:r w:rsidRPr="008E3CC0">
        <w:rPr>
          <w:rFonts w:ascii="Arial Nova" w:hAnsi="Arial Nova" w:cs="Arial"/>
          <w:bCs/>
        </w:rPr>
        <w:t>, del P</w:t>
      </w:r>
      <w:r>
        <w:rPr>
          <w:rFonts w:ascii="Arial Nova" w:hAnsi="Arial Nova" w:cs="Arial"/>
          <w:bCs/>
        </w:rPr>
        <w:t xml:space="preserve">TPCT </w:t>
      </w:r>
      <w:r w:rsidRPr="008E3CC0">
        <w:rPr>
          <w:rFonts w:ascii="Arial Nova" w:hAnsi="Arial Nova" w:cs="Arial"/>
          <w:bCs/>
        </w:rPr>
        <w:t>e dell</w:t>
      </w:r>
      <w:r>
        <w:rPr>
          <w:rFonts w:ascii="Arial Nova" w:hAnsi="Arial Nova" w:cs="Arial"/>
          <w:bCs/>
        </w:rPr>
        <w:t>a normativa in materia</w:t>
      </w:r>
      <w:r w:rsidRPr="008E3CC0">
        <w:rPr>
          <w:rFonts w:ascii="Arial Nova" w:hAnsi="Arial Nova" w:cs="Arial"/>
          <w:bCs/>
        </w:rPr>
        <w:t>, definisce le procedure per selezionare e formare i</w:t>
      </w:r>
      <w:r>
        <w:rPr>
          <w:rFonts w:ascii="Arial Nova" w:hAnsi="Arial Nova" w:cs="Arial"/>
          <w:bCs/>
        </w:rPr>
        <w:t xml:space="preserve"> </w:t>
      </w:r>
      <w:r w:rsidR="00176392">
        <w:rPr>
          <w:rFonts w:ascii="Arial Nova" w:hAnsi="Arial Nova" w:cs="Arial"/>
          <w:bCs/>
        </w:rPr>
        <w:t xml:space="preserve">dipendenti ed i </w:t>
      </w:r>
      <w:r w:rsidRPr="008E3CC0">
        <w:rPr>
          <w:rFonts w:ascii="Arial Nova" w:hAnsi="Arial Nova" w:cs="Arial"/>
          <w:bCs/>
        </w:rPr>
        <w:t>consiglieri, tenuto conto della propria organizzazione interna</w:t>
      </w:r>
      <w:r w:rsidR="00644F3C">
        <w:rPr>
          <w:rFonts w:ascii="Arial Nova" w:hAnsi="Arial Nova" w:cs="Arial"/>
          <w:bCs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366"/>
        <w:gridCol w:w="2835"/>
        <w:gridCol w:w="1680"/>
        <w:gridCol w:w="2177"/>
        <w:gridCol w:w="3650"/>
      </w:tblGrid>
      <w:tr w:rsidR="001D20C1" w14:paraId="68223F37" w14:textId="77777777" w:rsidTr="008E3CC0">
        <w:trPr>
          <w:trHeight w:val="773"/>
        </w:trPr>
        <w:tc>
          <w:tcPr>
            <w:tcW w:w="2571" w:type="dxa"/>
            <w:tcBorders>
              <w:bottom w:val="single" w:sz="6" w:space="0" w:color="000000"/>
            </w:tcBorders>
            <w:shd w:val="clear" w:color="auto" w:fill="D9D9D9"/>
          </w:tcPr>
          <w:p w14:paraId="390466CE" w14:textId="77777777" w:rsidR="008E3CC0" w:rsidRDefault="008E3CC0">
            <w:pPr>
              <w:pStyle w:val="TableParagraph"/>
              <w:ind w:left="835"/>
              <w:rPr>
                <w:b/>
              </w:rPr>
            </w:pPr>
          </w:p>
          <w:p w14:paraId="37288894" w14:textId="275D153C" w:rsidR="001D20C1" w:rsidRDefault="00811316">
            <w:pPr>
              <w:pStyle w:val="TableParagraph"/>
              <w:ind w:left="835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  <w:shd w:val="clear" w:color="auto" w:fill="D9D9D9"/>
          </w:tcPr>
          <w:p w14:paraId="290C7766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573DA133" w14:textId="77777777" w:rsidR="001D20C1" w:rsidRDefault="0081131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D9D9D9"/>
          </w:tcPr>
          <w:p w14:paraId="128E29E1" w14:textId="77777777" w:rsidR="008E3CC0" w:rsidRPr="008E3CC0" w:rsidRDefault="008E3CC0">
            <w:pPr>
              <w:pStyle w:val="TableParagraph"/>
              <w:ind w:left="926"/>
              <w:rPr>
                <w:b/>
              </w:rPr>
            </w:pPr>
          </w:p>
          <w:p w14:paraId="1E9A479E" w14:textId="78E8B5AA" w:rsidR="001D20C1" w:rsidRDefault="00811316">
            <w:pPr>
              <w:pStyle w:val="TableParagraph"/>
              <w:ind w:left="926"/>
              <w:rPr>
                <w:b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1FBA49D9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1B8AD404" w14:textId="77777777" w:rsidR="001D20C1" w:rsidRDefault="00811316">
            <w:pPr>
              <w:pStyle w:val="TableParagraph"/>
              <w:ind w:left="429" w:right="419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  <w:shd w:val="clear" w:color="auto" w:fill="D9D9D9"/>
          </w:tcPr>
          <w:p w14:paraId="37F46815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46F79DF5" w14:textId="77777777" w:rsidR="001D20C1" w:rsidRDefault="00811316">
            <w:pPr>
              <w:pStyle w:val="TableParagraph"/>
              <w:ind w:left="640"/>
              <w:rPr>
                <w:b/>
              </w:rPr>
            </w:pPr>
            <w:r>
              <w:rPr>
                <w:b/>
              </w:rPr>
              <w:t>RELATORI</w:t>
            </w:r>
          </w:p>
        </w:tc>
        <w:tc>
          <w:tcPr>
            <w:tcW w:w="3650" w:type="dxa"/>
            <w:tcBorders>
              <w:bottom w:val="single" w:sz="6" w:space="0" w:color="000000"/>
            </w:tcBorders>
            <w:shd w:val="clear" w:color="auto" w:fill="D9D9D9"/>
          </w:tcPr>
          <w:p w14:paraId="24738EE8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692C6B6E" w14:textId="77777777" w:rsidR="001D20C1" w:rsidRDefault="00811316">
            <w:pPr>
              <w:pStyle w:val="TableParagraph"/>
              <w:ind w:left="835"/>
              <w:rPr>
                <w:b/>
              </w:rPr>
            </w:pPr>
            <w:r>
              <w:rPr>
                <w:b/>
              </w:rPr>
              <w:t>MATERIALI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DIDATTICI</w:t>
            </w:r>
          </w:p>
        </w:tc>
      </w:tr>
      <w:tr w:rsidR="001D20C1" w14:paraId="17BF340B" w14:textId="77777777">
        <w:trPr>
          <w:trHeight w:val="1370"/>
        </w:trPr>
        <w:tc>
          <w:tcPr>
            <w:tcW w:w="2571" w:type="dxa"/>
            <w:tcBorders>
              <w:top w:val="single" w:sz="6" w:space="0" w:color="000000"/>
              <w:bottom w:val="single" w:sz="6" w:space="0" w:color="000000"/>
            </w:tcBorders>
          </w:tcPr>
          <w:p w14:paraId="4667854C" w14:textId="77777777" w:rsidR="005C1E54" w:rsidRDefault="005C1E54" w:rsidP="005C1E54">
            <w:pPr>
              <w:pStyle w:val="TableParagraph"/>
              <w:spacing w:after="120"/>
              <w:ind w:right="250"/>
              <w:rPr>
                <w:b/>
                <w:i/>
              </w:rPr>
            </w:pPr>
          </w:p>
          <w:p w14:paraId="04E00A8F" w14:textId="08A4218C" w:rsidR="001D20C1" w:rsidRDefault="00176392" w:rsidP="005C1E54">
            <w:pPr>
              <w:pStyle w:val="TableParagraph"/>
              <w:spacing w:after="120"/>
              <w:ind w:right="250"/>
              <w:rPr>
                <w:b/>
                <w:i/>
              </w:rPr>
            </w:pPr>
            <w:r>
              <w:rPr>
                <w:b/>
                <w:i/>
              </w:rPr>
              <w:t>Digitalizzazione degli Appalti pubblici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14:paraId="6895E298" w14:textId="2D4C614A" w:rsidR="006E6C43" w:rsidRDefault="006E6C43" w:rsidP="005C1E54">
            <w:pPr>
              <w:pStyle w:val="TableParagraph"/>
              <w:spacing w:after="120"/>
              <w:ind w:left="79"/>
            </w:pPr>
          </w:p>
          <w:p w14:paraId="384E62CC" w14:textId="3C99C40B" w:rsidR="001D20C1" w:rsidRDefault="008E3CC0" w:rsidP="005C1E54">
            <w:pPr>
              <w:pStyle w:val="TableParagraph"/>
              <w:spacing w:after="120"/>
              <w:ind w:left="79"/>
            </w:pPr>
            <w:r>
              <w:t>Entro il 30</w:t>
            </w:r>
            <w:r w:rsidR="005C1E54">
              <w:t>/6/202</w:t>
            </w:r>
            <w:r w:rsidR="00176392">
              <w:t>4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4CE5BCED" w14:textId="77777777" w:rsidR="00416798" w:rsidRDefault="00416798" w:rsidP="005C1E54">
            <w:pPr>
              <w:pStyle w:val="TableParagraph"/>
              <w:spacing w:after="120"/>
              <w:ind w:left="79"/>
            </w:pPr>
          </w:p>
          <w:p w14:paraId="3230FC49" w14:textId="546BF6BE" w:rsidR="001D20C1" w:rsidRDefault="00811316" w:rsidP="005C1E54">
            <w:pPr>
              <w:pStyle w:val="TableParagraph"/>
              <w:spacing w:after="120"/>
              <w:ind w:left="79"/>
            </w:pPr>
            <w:r>
              <w:t>RPCT,</w:t>
            </w:r>
            <w:r>
              <w:rPr>
                <w:spacing w:val="-4"/>
              </w:rPr>
              <w:t xml:space="preserve"> </w:t>
            </w:r>
            <w:r>
              <w:t>Dipendenti,</w:t>
            </w:r>
            <w:r>
              <w:rPr>
                <w:spacing w:val="-3"/>
              </w:rPr>
              <w:t xml:space="preserve"> </w:t>
            </w:r>
            <w:r>
              <w:t>Consiglieri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14:paraId="4E34F26F" w14:textId="77777777" w:rsidR="005C1E54" w:rsidRPr="005C1E54" w:rsidRDefault="005C1E54" w:rsidP="005C1E54">
            <w:pPr>
              <w:pStyle w:val="TableParagraph"/>
              <w:spacing w:after="120"/>
              <w:ind w:left="429" w:right="415"/>
              <w:jc w:val="center"/>
              <w:rPr>
                <w:bCs/>
              </w:rPr>
            </w:pPr>
          </w:p>
          <w:p w14:paraId="0D8843C6" w14:textId="6045644A" w:rsidR="001D20C1" w:rsidRDefault="00811316" w:rsidP="005C1E54">
            <w:pPr>
              <w:pStyle w:val="TableParagraph"/>
              <w:spacing w:after="120"/>
              <w:ind w:left="429" w:right="415"/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</w:tcPr>
          <w:p w14:paraId="07AB481E" w14:textId="77777777" w:rsidR="001D20C1" w:rsidRDefault="001D20C1" w:rsidP="005C1E54">
            <w:pPr>
              <w:pStyle w:val="TableParagraph"/>
              <w:spacing w:after="120"/>
            </w:pPr>
          </w:p>
          <w:p w14:paraId="3F9CC731" w14:textId="3CB41BC7" w:rsidR="00416798" w:rsidRDefault="00416798" w:rsidP="005C1E54">
            <w:pPr>
              <w:pStyle w:val="TableParagraph"/>
              <w:spacing w:after="120"/>
            </w:pPr>
            <w:r>
              <w:t>Da definire</w:t>
            </w:r>
          </w:p>
        </w:tc>
        <w:tc>
          <w:tcPr>
            <w:tcW w:w="3650" w:type="dxa"/>
            <w:tcBorders>
              <w:top w:val="single" w:sz="6" w:space="0" w:color="000000"/>
              <w:bottom w:val="single" w:sz="6" w:space="0" w:color="000000"/>
            </w:tcBorders>
          </w:tcPr>
          <w:p w14:paraId="34D2B6B2" w14:textId="77777777" w:rsidR="00416798" w:rsidRDefault="00416798" w:rsidP="005C1E54">
            <w:pPr>
              <w:pStyle w:val="TableParagraph"/>
              <w:spacing w:after="120"/>
            </w:pPr>
          </w:p>
          <w:p w14:paraId="7C92687B" w14:textId="41B27CBE" w:rsidR="001D20C1" w:rsidRDefault="008E3CC0" w:rsidP="005C1E54">
            <w:pPr>
              <w:pStyle w:val="TableParagraph"/>
              <w:spacing w:after="120"/>
            </w:pPr>
            <w:r>
              <w:t>FAD</w:t>
            </w:r>
          </w:p>
        </w:tc>
      </w:tr>
      <w:tr w:rsidR="001D20C1" w14:paraId="02CA40E7" w14:textId="77777777" w:rsidTr="005C1E54">
        <w:trPr>
          <w:trHeight w:val="708"/>
        </w:trPr>
        <w:tc>
          <w:tcPr>
            <w:tcW w:w="2571" w:type="dxa"/>
            <w:tcBorders>
              <w:top w:val="single" w:sz="6" w:space="0" w:color="000000"/>
              <w:bottom w:val="single" w:sz="6" w:space="0" w:color="000000"/>
            </w:tcBorders>
          </w:tcPr>
          <w:p w14:paraId="4C9C3C0C" w14:textId="49749998" w:rsidR="001D20C1" w:rsidRDefault="008E3CC0" w:rsidP="005C1E54">
            <w:pPr>
              <w:pStyle w:val="TableParagraph"/>
              <w:spacing w:after="120"/>
              <w:ind w:right="272"/>
              <w:rPr>
                <w:b/>
                <w:i/>
              </w:rPr>
            </w:pPr>
            <w:r>
              <w:rPr>
                <w:b/>
                <w:i/>
              </w:rPr>
              <w:t>Etica Pubblica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14:paraId="20B88289" w14:textId="520CCA0E" w:rsidR="001D20C1" w:rsidRDefault="00811316" w:rsidP="005C1E54">
            <w:pPr>
              <w:pStyle w:val="TableParagraph"/>
              <w:spacing w:after="120"/>
              <w:ind w:right="74"/>
            </w:pPr>
            <w:r>
              <w:t>Entro il 15</w:t>
            </w:r>
            <w:r w:rsidR="005C1E54">
              <w:t>/12/202</w:t>
            </w:r>
            <w:r w:rsidR="00176392">
              <w:t>4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61748401" w14:textId="6416E1F5" w:rsidR="001D20C1" w:rsidRDefault="005C1E54" w:rsidP="005C1E54">
            <w:pPr>
              <w:pStyle w:val="TableParagraph"/>
              <w:spacing w:after="120"/>
              <w:ind w:right="82"/>
            </w:pPr>
            <w:r w:rsidRPr="005C1E54">
              <w:t>RPCT, Dipendenti,</w:t>
            </w:r>
            <w:r>
              <w:t xml:space="preserve"> </w:t>
            </w:r>
            <w:r w:rsidRPr="005C1E54">
              <w:t>Consiglieri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14:paraId="66049ACC" w14:textId="77777777" w:rsidR="001D20C1" w:rsidRDefault="00811316" w:rsidP="005C1E54">
            <w:pPr>
              <w:pStyle w:val="TableParagraph"/>
              <w:spacing w:after="120"/>
              <w:ind w:left="429" w:right="415"/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</w:tcPr>
          <w:p w14:paraId="59B375C6" w14:textId="20831CED" w:rsidR="00416798" w:rsidRDefault="00416798" w:rsidP="005C1E54">
            <w:pPr>
              <w:pStyle w:val="TableParagraph"/>
              <w:spacing w:after="120"/>
            </w:pPr>
            <w:r>
              <w:t>Da definire</w:t>
            </w:r>
          </w:p>
        </w:tc>
        <w:tc>
          <w:tcPr>
            <w:tcW w:w="3650" w:type="dxa"/>
            <w:tcBorders>
              <w:top w:val="single" w:sz="6" w:space="0" w:color="000000"/>
              <w:bottom w:val="single" w:sz="6" w:space="0" w:color="000000"/>
            </w:tcBorders>
          </w:tcPr>
          <w:p w14:paraId="54BA1BD3" w14:textId="16F12FE7" w:rsidR="001D20C1" w:rsidRDefault="008E3CC0" w:rsidP="005C1E54">
            <w:pPr>
              <w:pStyle w:val="TableParagraph"/>
              <w:spacing w:after="120"/>
            </w:pPr>
            <w:r>
              <w:t>FAD</w:t>
            </w:r>
          </w:p>
        </w:tc>
      </w:tr>
    </w:tbl>
    <w:p w14:paraId="242889D4" w14:textId="77777777" w:rsidR="00811316" w:rsidRDefault="00811316"/>
    <w:sectPr w:rsidR="00811316" w:rsidSect="00176392">
      <w:headerReference w:type="default" r:id="rId7"/>
      <w:type w:val="continuous"/>
      <w:pgSz w:w="16850" w:h="11900" w:orient="landscape"/>
      <w:pgMar w:top="851" w:right="12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6A56" w14:textId="77777777" w:rsidR="004D57EF" w:rsidRDefault="004D57EF" w:rsidP="006E6C43">
      <w:r>
        <w:separator/>
      </w:r>
    </w:p>
  </w:endnote>
  <w:endnote w:type="continuationSeparator" w:id="0">
    <w:p w14:paraId="1C263891" w14:textId="77777777" w:rsidR="004D57EF" w:rsidRDefault="004D57EF" w:rsidP="006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8EBF" w14:textId="77777777" w:rsidR="004D57EF" w:rsidRDefault="004D57EF" w:rsidP="006E6C43">
      <w:r>
        <w:separator/>
      </w:r>
    </w:p>
  </w:footnote>
  <w:footnote w:type="continuationSeparator" w:id="0">
    <w:p w14:paraId="025F2880" w14:textId="77777777" w:rsidR="004D57EF" w:rsidRDefault="004D57EF" w:rsidP="006E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CE7C" w14:textId="4D42CEEC" w:rsidR="006E6C43" w:rsidRPr="00EC1377" w:rsidRDefault="006E6C43" w:rsidP="006E6C43">
    <w:pPr>
      <w:pStyle w:val="Intestazione"/>
      <w:jc w:val="right"/>
      <w:rPr>
        <w:b/>
        <w:bCs/>
      </w:rPr>
    </w:pPr>
    <w:r w:rsidRPr="00EC1377">
      <w:rPr>
        <w:b/>
        <w:bCs/>
      </w:rPr>
      <w:t>PTPCT 202</w:t>
    </w:r>
    <w:r w:rsidR="00176392">
      <w:rPr>
        <w:b/>
        <w:bCs/>
      </w:rPr>
      <w:t>4</w:t>
    </w:r>
    <w:r w:rsidRPr="00EC1377">
      <w:rPr>
        <w:b/>
        <w:bCs/>
      </w:rPr>
      <w:t xml:space="preserve"> - 202</w:t>
    </w:r>
    <w:r w:rsidR="00176392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2F0"/>
    <w:multiLevelType w:val="hybridMultilevel"/>
    <w:tmpl w:val="AF0AB01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4296AA8"/>
    <w:multiLevelType w:val="hybridMultilevel"/>
    <w:tmpl w:val="70B2D18A"/>
    <w:lvl w:ilvl="0" w:tplc="94E80F0A">
      <w:numFmt w:val="bullet"/>
      <w:lvlText w:val=""/>
      <w:lvlJc w:val="left"/>
      <w:pPr>
        <w:ind w:left="644" w:hanging="360"/>
      </w:pPr>
      <w:rPr>
        <w:rFonts w:ascii="Arial Nova" w:eastAsia="Calibri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1"/>
    <w:rsid w:val="000905F9"/>
    <w:rsid w:val="00176392"/>
    <w:rsid w:val="001D20C1"/>
    <w:rsid w:val="001D7C31"/>
    <w:rsid w:val="00233BB7"/>
    <w:rsid w:val="002E7A54"/>
    <w:rsid w:val="0037562F"/>
    <w:rsid w:val="00416798"/>
    <w:rsid w:val="0049027F"/>
    <w:rsid w:val="004C56B5"/>
    <w:rsid w:val="004D57EF"/>
    <w:rsid w:val="004F1021"/>
    <w:rsid w:val="00585892"/>
    <w:rsid w:val="005C1E54"/>
    <w:rsid w:val="00614047"/>
    <w:rsid w:val="00644F3C"/>
    <w:rsid w:val="00656472"/>
    <w:rsid w:val="006E6C43"/>
    <w:rsid w:val="006F7E2A"/>
    <w:rsid w:val="00802504"/>
    <w:rsid w:val="00811316"/>
    <w:rsid w:val="008E3CC0"/>
    <w:rsid w:val="00A04D51"/>
    <w:rsid w:val="00CC7E83"/>
    <w:rsid w:val="00EA2073"/>
    <w:rsid w:val="00F4204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9639"/>
  <w15:docId w15:val="{3F1286A9-271C-4A2F-B09E-0A03D80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1"/>
    </w:pPr>
  </w:style>
  <w:style w:type="paragraph" w:styleId="Intestazione">
    <w:name w:val="header"/>
    <w:basedOn w:val="Normale"/>
    <w:link w:val="IntestazioneCarattere"/>
    <w:uiPriority w:val="99"/>
    <w:unhideWhenUsed/>
    <w:rsid w:val="006E6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C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6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All4-Piano_Formazione_CNI_2021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All4-Piano_Formazione</dc:title>
  <dc:creator>FRANCESCO</dc:creator>
  <cp:lastModifiedBy>Elena Elena</cp:lastModifiedBy>
  <cp:revision>2</cp:revision>
  <dcterms:created xsi:type="dcterms:W3CDTF">2024-01-08T17:19:00Z</dcterms:created>
  <dcterms:modified xsi:type="dcterms:W3CDTF">2024-01-08T17:19:00Z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